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93E" w:rsidRDefault="009C093E" w:rsidP="009C093E">
      <w:pPr>
        <w:tabs>
          <w:tab w:val="right" w:pos="270"/>
        </w:tabs>
        <w:spacing w:after="120"/>
        <w:ind w:left="360" w:hanging="360"/>
        <w:jc w:val="both"/>
        <w:rPr>
          <w:snapToGrid w:val="0"/>
        </w:rPr>
      </w:pPr>
      <w:r>
        <w:rPr>
          <w:snapToGrid w:val="0"/>
        </w:rPr>
        <w:t>Homework 10b Questions and Answers</w:t>
      </w:r>
    </w:p>
    <w:p w:rsidR="009C093E" w:rsidRDefault="009C093E" w:rsidP="009C093E">
      <w:pPr>
        <w:tabs>
          <w:tab w:val="right" w:pos="270"/>
        </w:tabs>
        <w:spacing w:after="120"/>
        <w:ind w:left="360" w:hanging="360"/>
        <w:jc w:val="both"/>
        <w:rPr>
          <w:snapToGrid w:val="0"/>
        </w:rPr>
      </w:pPr>
      <w:bookmarkStart w:id="0" w:name="_GoBack"/>
      <w:bookmarkEnd w:id="0"/>
      <w:r w:rsidRPr="008965E0">
        <w:rPr>
          <w:snapToGrid w:val="0"/>
        </w:rPr>
        <w:tab/>
      </w:r>
    </w:p>
    <w:p w:rsidR="009C093E" w:rsidRPr="008965E0" w:rsidRDefault="009C093E" w:rsidP="009C093E">
      <w:pPr>
        <w:tabs>
          <w:tab w:val="right" w:pos="270"/>
        </w:tabs>
        <w:spacing w:after="120"/>
        <w:ind w:left="360" w:hanging="360"/>
        <w:jc w:val="both"/>
        <w:rPr>
          <w:snapToGrid w:val="0"/>
        </w:rPr>
      </w:pPr>
      <w:r>
        <w:rPr>
          <w:snapToGrid w:val="0"/>
        </w:rPr>
        <w:t>1</w:t>
      </w:r>
      <w:r w:rsidRPr="008965E0">
        <w:rPr>
          <w:snapToGrid w:val="0"/>
        </w:rPr>
        <w:t>.</w:t>
      </w:r>
      <w:r w:rsidRPr="008965E0">
        <w:rPr>
          <w:snapToGrid w:val="0"/>
        </w:rPr>
        <w:tab/>
      </w:r>
      <w:r w:rsidRPr="008965E0">
        <w:t>Consider the following situations and determine whether they exhibit simultaneous consumption, network effects, x-inefficiency or rent-seeking behavior.  Assume the businesses referenced function as monopolies.</w:t>
      </w:r>
    </w:p>
    <w:p w:rsidR="009C093E" w:rsidRDefault="009C093E" w:rsidP="009C093E">
      <w:pPr>
        <w:ind w:left="720" w:hanging="360"/>
        <w:jc w:val="both"/>
        <w:rPr>
          <w:snapToGrid w:val="0"/>
        </w:rPr>
      </w:pPr>
      <w:r w:rsidRPr="008965E0">
        <w:rPr>
          <w:snapToGrid w:val="0"/>
        </w:rPr>
        <w:t>(a)</w:t>
      </w:r>
      <w:r w:rsidRPr="008965E0">
        <w:rPr>
          <w:snapToGrid w:val="0"/>
        </w:rPr>
        <w:tab/>
      </w:r>
      <w:r w:rsidRPr="008965E0">
        <w:t>A pharmaceutical company discovers a vaccine for the common cold.  The company puts a significant effort into tests to get it FDA-approved and into hiring lawyers to obtain a patent.</w:t>
      </w:r>
    </w:p>
    <w:p w:rsidR="009C093E" w:rsidRDefault="009C093E" w:rsidP="009C093E">
      <w:pPr>
        <w:ind w:left="720" w:hanging="360"/>
        <w:jc w:val="both"/>
        <w:rPr>
          <w:snapToGrid w:val="0"/>
        </w:rPr>
      </w:pPr>
      <w:r>
        <w:rPr>
          <w:snapToGrid w:val="0"/>
        </w:rPr>
        <w:t>(b)</w:t>
      </w:r>
      <w:r>
        <w:rPr>
          <w:snapToGrid w:val="0"/>
        </w:rPr>
        <w:tab/>
        <w:t>An Internet service provider adds thousands of new customers.</w:t>
      </w:r>
    </w:p>
    <w:p w:rsidR="009C093E" w:rsidRDefault="009C093E" w:rsidP="009C093E">
      <w:pPr>
        <w:ind w:left="720" w:hanging="360"/>
        <w:jc w:val="both"/>
        <w:rPr>
          <w:snapToGrid w:val="0"/>
        </w:rPr>
      </w:pPr>
      <w:r w:rsidRPr="008965E0">
        <w:rPr>
          <w:snapToGrid w:val="0"/>
        </w:rPr>
        <w:t>(</w:t>
      </w:r>
      <w:r>
        <w:rPr>
          <w:snapToGrid w:val="0"/>
        </w:rPr>
        <w:t>c</w:t>
      </w:r>
      <w:r w:rsidRPr="008965E0">
        <w:rPr>
          <w:snapToGrid w:val="0"/>
        </w:rPr>
        <w:t>)</w:t>
      </w:r>
      <w:r w:rsidRPr="008965E0">
        <w:rPr>
          <w:snapToGrid w:val="0"/>
        </w:rPr>
        <w:tab/>
      </w:r>
      <w:r w:rsidRPr="008965E0">
        <w:t>The head of a family-owned, major hotel chain decides to hire his wild, socialite niece to work as an executive of the company after her reality TV career ends.</w:t>
      </w:r>
    </w:p>
    <w:p w:rsidR="009C093E" w:rsidRPr="008965E0" w:rsidRDefault="009C093E" w:rsidP="009C093E">
      <w:pPr>
        <w:ind w:left="720" w:hanging="360"/>
        <w:jc w:val="both"/>
        <w:rPr>
          <w:snapToGrid w:val="0"/>
        </w:rPr>
      </w:pPr>
      <w:r w:rsidRPr="008965E0">
        <w:rPr>
          <w:snapToGrid w:val="0"/>
        </w:rPr>
        <w:t>(</w:t>
      </w:r>
      <w:r>
        <w:rPr>
          <w:snapToGrid w:val="0"/>
        </w:rPr>
        <w:t>d</w:t>
      </w:r>
      <w:r w:rsidRPr="008965E0">
        <w:rPr>
          <w:snapToGrid w:val="0"/>
        </w:rPr>
        <w:t>)</w:t>
      </w:r>
      <w:r w:rsidRPr="008965E0">
        <w:rPr>
          <w:snapToGrid w:val="0"/>
        </w:rPr>
        <w:tab/>
      </w:r>
      <w:r w:rsidRPr="008965E0">
        <w:t>An online profile company helps college and high school students from across the country to connect with each other.</w:t>
      </w:r>
    </w:p>
    <w:p w:rsidR="009C093E" w:rsidRPr="008965E0" w:rsidRDefault="009C093E" w:rsidP="009C093E">
      <w:pPr>
        <w:jc w:val="both"/>
        <w:rPr>
          <w:bCs/>
          <w:snapToGrid w:val="0"/>
        </w:rPr>
      </w:pPr>
    </w:p>
    <w:p w:rsidR="009C093E" w:rsidRDefault="009C093E" w:rsidP="009C093E">
      <w:pPr>
        <w:ind w:left="720" w:hanging="360"/>
        <w:jc w:val="both"/>
        <w:rPr>
          <w:snapToGrid w:val="0"/>
        </w:rPr>
      </w:pPr>
      <w:r w:rsidRPr="008965E0">
        <w:rPr>
          <w:snapToGrid w:val="0"/>
        </w:rPr>
        <w:t>(a)</w:t>
      </w:r>
      <w:r w:rsidRPr="008965E0">
        <w:rPr>
          <w:snapToGrid w:val="0"/>
        </w:rPr>
        <w:tab/>
      </w:r>
      <w:r w:rsidRPr="008965E0">
        <w:t>This is an example of rent-seeking behavior.  The pharmaceutical company is putting a large amount of resources into making the drug marketable and to gain exclusive rights for the drug.  Obtaining this will likely cause the firm to gain significant profits.</w:t>
      </w:r>
    </w:p>
    <w:p w:rsidR="009C093E" w:rsidRDefault="009C093E" w:rsidP="009C093E">
      <w:pPr>
        <w:ind w:left="720" w:hanging="360"/>
        <w:jc w:val="both"/>
        <w:rPr>
          <w:snapToGrid w:val="0"/>
        </w:rPr>
      </w:pPr>
      <w:r>
        <w:rPr>
          <w:snapToGrid w:val="0"/>
        </w:rPr>
        <w:t>(b)</w:t>
      </w:r>
      <w:r>
        <w:rPr>
          <w:snapToGrid w:val="0"/>
        </w:rPr>
        <w:tab/>
      </w:r>
      <w:r>
        <w:t>This situation</w:t>
      </w:r>
      <w:r w:rsidRPr="008965E0">
        <w:t xml:space="preserve"> exhibits simultaneous consumption.  Once the firm </w:t>
      </w:r>
      <w:r>
        <w:t>offers Internet services to one customer</w:t>
      </w:r>
      <w:r w:rsidRPr="008965E0">
        <w:t xml:space="preserve">, it is easy for it to </w:t>
      </w:r>
      <w:r>
        <w:t>add</w:t>
      </w:r>
      <w:r w:rsidRPr="008965E0">
        <w:t xml:space="preserve"> production for additional c</w:t>
      </w:r>
      <w:r>
        <w:t>u</w:t>
      </w:r>
      <w:r w:rsidRPr="008965E0">
        <w:t>s</w:t>
      </w:r>
      <w:r>
        <w:t>to</w:t>
      </w:r>
      <w:r w:rsidRPr="008965E0">
        <w:t>mers</w:t>
      </w:r>
      <w:r>
        <w:t xml:space="preserve"> at little or no marginal cost, so average total cost declines</w:t>
      </w:r>
      <w:r w:rsidRPr="008965E0">
        <w:t>.</w:t>
      </w:r>
    </w:p>
    <w:p w:rsidR="009C093E" w:rsidRDefault="009C093E" w:rsidP="009C093E">
      <w:pPr>
        <w:ind w:left="720" w:hanging="360"/>
        <w:jc w:val="both"/>
        <w:rPr>
          <w:snapToGrid w:val="0"/>
        </w:rPr>
      </w:pPr>
      <w:r w:rsidRPr="008965E0">
        <w:rPr>
          <w:snapToGrid w:val="0"/>
        </w:rPr>
        <w:t>(</w:t>
      </w:r>
      <w:r>
        <w:rPr>
          <w:snapToGrid w:val="0"/>
        </w:rPr>
        <w:t>c</w:t>
      </w:r>
      <w:r w:rsidRPr="008965E0">
        <w:rPr>
          <w:snapToGrid w:val="0"/>
        </w:rPr>
        <w:t>)</w:t>
      </w:r>
      <w:r w:rsidRPr="008965E0">
        <w:rPr>
          <w:snapToGrid w:val="0"/>
        </w:rPr>
        <w:tab/>
      </w:r>
      <w:r w:rsidRPr="008965E0">
        <w:t>This example exhibits X-inefficiency.  Hiring an irresponsible relative likely has personal motivations for the executive and likely won’t benefit the efficiency of the firm.  This will put the ATC at a higher level than it would be if the relative was not hired, resulting in x-inefficiency.</w:t>
      </w:r>
    </w:p>
    <w:p w:rsidR="009C093E" w:rsidRDefault="009C093E" w:rsidP="009C093E">
      <w:pPr>
        <w:ind w:left="720" w:hanging="360"/>
        <w:jc w:val="both"/>
      </w:pPr>
      <w:r>
        <w:rPr>
          <w:snapToGrid w:val="0"/>
        </w:rPr>
        <w:t>(d</w:t>
      </w:r>
      <w:r w:rsidRPr="008965E0">
        <w:rPr>
          <w:snapToGrid w:val="0"/>
        </w:rPr>
        <w:t>)</w:t>
      </w:r>
      <w:r w:rsidRPr="008965E0">
        <w:rPr>
          <w:snapToGrid w:val="0"/>
        </w:rPr>
        <w:tab/>
      </w:r>
      <w:r w:rsidRPr="008965E0">
        <w:t>This example exhibits networking effects.  The site becomes more and more attractive to join and the larger the pool of users and schools becomes, the better service the site provides.</w:t>
      </w:r>
    </w:p>
    <w:p w:rsidR="009C093E" w:rsidRPr="008965E0" w:rsidRDefault="009C093E" w:rsidP="009C093E">
      <w:pPr>
        <w:ind w:left="720" w:hanging="360"/>
        <w:jc w:val="both"/>
        <w:rPr>
          <w:snapToGrid w:val="0"/>
        </w:rPr>
      </w:pPr>
      <w:r w:rsidRPr="008965E0">
        <w:rPr>
          <w:bCs/>
          <w:snapToGrid w:val="0"/>
        </w:rPr>
        <w:t>[</w:t>
      </w:r>
      <w:proofErr w:type="gramStart"/>
      <w:r w:rsidRPr="008965E0">
        <w:rPr>
          <w:bCs/>
          <w:snapToGrid w:val="0"/>
        </w:rPr>
        <w:t>text</w:t>
      </w:r>
      <w:proofErr w:type="gramEnd"/>
      <w:r w:rsidRPr="008965E0">
        <w:rPr>
          <w:bCs/>
          <w:snapToGrid w:val="0"/>
        </w:rPr>
        <w:t xml:space="preserve">: E pp. </w:t>
      </w:r>
      <w:r>
        <w:rPr>
          <w:bCs/>
          <w:snapToGrid w:val="0"/>
        </w:rPr>
        <w:t>212</w:t>
      </w:r>
      <w:r w:rsidRPr="008965E0">
        <w:rPr>
          <w:bCs/>
          <w:snapToGrid w:val="0"/>
        </w:rPr>
        <w:t>-</w:t>
      </w:r>
      <w:r>
        <w:rPr>
          <w:bCs/>
          <w:snapToGrid w:val="0"/>
        </w:rPr>
        <w:t>21</w:t>
      </w:r>
      <w:r w:rsidRPr="008965E0">
        <w:rPr>
          <w:bCs/>
          <w:snapToGrid w:val="0"/>
        </w:rPr>
        <w:t>3; MI pp. 2</w:t>
      </w:r>
      <w:r>
        <w:rPr>
          <w:bCs/>
          <w:snapToGrid w:val="0"/>
        </w:rPr>
        <w:t>12</w:t>
      </w:r>
      <w:r w:rsidRPr="008965E0">
        <w:rPr>
          <w:bCs/>
          <w:snapToGrid w:val="0"/>
        </w:rPr>
        <w:t>-21</w:t>
      </w:r>
      <w:r>
        <w:rPr>
          <w:bCs/>
          <w:snapToGrid w:val="0"/>
        </w:rPr>
        <w:t>3</w:t>
      </w:r>
      <w:r w:rsidRPr="008965E0">
        <w:rPr>
          <w:bCs/>
          <w:snapToGrid w:val="0"/>
        </w:rPr>
        <w:t>]</w:t>
      </w:r>
    </w:p>
    <w:p w:rsidR="009C093E" w:rsidRPr="00815F15" w:rsidRDefault="009C093E" w:rsidP="009C093E">
      <w:pPr>
        <w:tabs>
          <w:tab w:val="right" w:pos="270"/>
        </w:tabs>
        <w:ind w:left="360" w:hanging="360"/>
        <w:jc w:val="both"/>
        <w:rPr>
          <w:snapToGrid w:val="0"/>
        </w:rPr>
      </w:pPr>
      <w:r w:rsidRPr="00815F15">
        <w:rPr>
          <w:snapToGrid w:val="0"/>
        </w:rPr>
        <w:t xml:space="preserve">2. </w:t>
      </w:r>
      <w:r w:rsidRPr="00815F15">
        <w:rPr>
          <w:snapToGrid w:val="0"/>
        </w:rPr>
        <w:tab/>
        <w:t>Explain the relationship between the price elasticity of demand and price discrimination.  Give two examples.</w:t>
      </w:r>
    </w:p>
    <w:p w:rsidR="009C093E" w:rsidRDefault="009C093E" w:rsidP="009C093E">
      <w:pPr>
        <w:tabs>
          <w:tab w:val="right" w:pos="270"/>
        </w:tabs>
        <w:ind w:left="360" w:hanging="360"/>
        <w:jc w:val="both"/>
        <w:rPr>
          <w:bCs/>
          <w:snapToGrid w:val="0"/>
        </w:rPr>
      </w:pPr>
      <w:r w:rsidRPr="008965E0">
        <w:rPr>
          <w:bCs/>
          <w:snapToGrid w:val="0"/>
        </w:rPr>
        <w:tab/>
      </w:r>
    </w:p>
    <w:p w:rsidR="009C093E" w:rsidRPr="008965E0" w:rsidRDefault="009C093E" w:rsidP="009C093E">
      <w:pPr>
        <w:tabs>
          <w:tab w:val="right" w:pos="270"/>
        </w:tabs>
        <w:ind w:left="360" w:hanging="360"/>
        <w:jc w:val="both"/>
        <w:rPr>
          <w:bCs/>
          <w:snapToGrid w:val="0"/>
        </w:rPr>
      </w:pPr>
      <w:r w:rsidRPr="008965E0">
        <w:rPr>
          <w:bCs/>
          <w:snapToGrid w:val="0"/>
        </w:rPr>
        <w:tab/>
        <w:t xml:space="preserve">Price discrimination is often used when there are different </w:t>
      </w:r>
      <w:proofErr w:type="spellStart"/>
      <w:r w:rsidRPr="008965E0">
        <w:rPr>
          <w:bCs/>
          <w:snapToGrid w:val="0"/>
        </w:rPr>
        <w:t>elasticities</w:t>
      </w:r>
      <w:proofErr w:type="spellEnd"/>
      <w:r w:rsidRPr="008965E0">
        <w:rPr>
          <w:bCs/>
          <w:snapToGrid w:val="0"/>
        </w:rPr>
        <w:t xml:space="preserve"> of demand among buyers of a product.  For example, phone rates during a business day are higher than phone rates at night and on weekends because demand is relatively more inelastic during the day and relatively more elastic during the evenings and on weekends.  As another example, movie theaters charge higher prices during the evening when the demand is relatively inelastic and charge lower prices during the day when demand is relatively more elastic.  [</w:t>
      </w:r>
      <w:proofErr w:type="gramStart"/>
      <w:r w:rsidRPr="008965E0">
        <w:rPr>
          <w:bCs/>
          <w:snapToGrid w:val="0"/>
        </w:rPr>
        <w:t>text</w:t>
      </w:r>
      <w:proofErr w:type="gramEnd"/>
      <w:r w:rsidRPr="008965E0">
        <w:rPr>
          <w:bCs/>
          <w:snapToGrid w:val="0"/>
        </w:rPr>
        <w:t xml:space="preserve">: E pp. </w:t>
      </w:r>
      <w:r>
        <w:rPr>
          <w:bCs/>
          <w:snapToGrid w:val="0"/>
        </w:rPr>
        <w:t>21</w:t>
      </w:r>
      <w:r w:rsidRPr="008965E0">
        <w:rPr>
          <w:bCs/>
          <w:snapToGrid w:val="0"/>
        </w:rPr>
        <w:t>4-</w:t>
      </w:r>
      <w:r>
        <w:rPr>
          <w:bCs/>
          <w:snapToGrid w:val="0"/>
        </w:rPr>
        <w:t>215</w:t>
      </w:r>
      <w:r w:rsidRPr="008965E0">
        <w:rPr>
          <w:bCs/>
          <w:snapToGrid w:val="0"/>
        </w:rPr>
        <w:t>; MI pp. 2</w:t>
      </w:r>
      <w:r>
        <w:rPr>
          <w:bCs/>
          <w:snapToGrid w:val="0"/>
        </w:rPr>
        <w:t>14</w:t>
      </w:r>
      <w:r w:rsidRPr="008965E0">
        <w:rPr>
          <w:bCs/>
          <w:snapToGrid w:val="0"/>
        </w:rPr>
        <w:t>-2</w:t>
      </w:r>
      <w:r>
        <w:rPr>
          <w:bCs/>
          <w:snapToGrid w:val="0"/>
        </w:rPr>
        <w:t>15</w:t>
      </w:r>
      <w:r w:rsidRPr="008965E0">
        <w:rPr>
          <w:bCs/>
          <w:snapToGrid w:val="0"/>
        </w:rPr>
        <w:t>]</w:t>
      </w:r>
    </w:p>
    <w:p w:rsidR="009C093E" w:rsidRPr="008965E0" w:rsidRDefault="009C093E" w:rsidP="009C093E">
      <w:pPr>
        <w:jc w:val="both"/>
        <w:rPr>
          <w:snapToGrid w:val="0"/>
        </w:rPr>
      </w:pPr>
    </w:p>
    <w:p w:rsidR="009C093E" w:rsidRPr="00815F15" w:rsidRDefault="009C093E" w:rsidP="009C093E">
      <w:pPr>
        <w:tabs>
          <w:tab w:val="right" w:pos="270"/>
        </w:tabs>
        <w:spacing w:after="120"/>
        <w:ind w:left="360" w:hanging="360"/>
        <w:jc w:val="both"/>
        <w:rPr>
          <w:snapToGrid w:val="0"/>
        </w:rPr>
      </w:pPr>
      <w:r>
        <w:t xml:space="preserve">3. </w:t>
      </w:r>
      <w:r>
        <w:rPr>
          <w:snapToGrid w:val="0"/>
        </w:rPr>
        <w:tab/>
      </w:r>
      <w:r w:rsidRPr="00815F15">
        <w:rPr>
          <w:snapToGrid w:val="0"/>
        </w:rPr>
        <w:t>In the table below are cost and demand data for a pure monopolist.</w:t>
      </w:r>
    </w:p>
    <w:tbl>
      <w:tblPr>
        <w:tblW w:w="4353" w:type="dxa"/>
        <w:tblInd w:w="360" w:type="dxa"/>
        <w:tblCellMar>
          <w:top w:w="43" w:type="dxa"/>
          <w:left w:w="29" w:type="dxa"/>
          <w:right w:w="29" w:type="dxa"/>
        </w:tblCellMar>
        <w:tblLook w:val="0000" w:firstRow="0" w:lastRow="0" w:firstColumn="0" w:lastColumn="0" w:noHBand="0" w:noVBand="0"/>
      </w:tblPr>
      <w:tblGrid>
        <w:gridCol w:w="1023"/>
        <w:gridCol w:w="689"/>
        <w:gridCol w:w="881"/>
        <w:gridCol w:w="879"/>
        <w:gridCol w:w="881"/>
      </w:tblGrid>
      <w:tr w:rsidR="009C093E" w:rsidRPr="00815F15" w:rsidTr="002C09D6">
        <w:tc>
          <w:tcPr>
            <w:tcW w:w="1023" w:type="dxa"/>
            <w:tcBorders>
              <w:top w:val="single" w:sz="4" w:space="0" w:color="auto"/>
              <w:left w:val="nil"/>
              <w:bottom w:val="single" w:sz="4" w:space="0" w:color="auto"/>
              <w:right w:val="nil"/>
            </w:tcBorders>
            <w:shd w:val="clear" w:color="auto" w:fill="auto"/>
            <w:tcMar>
              <w:bottom w:w="14" w:type="dxa"/>
            </w:tcMar>
            <w:vAlign w:val="bottom"/>
          </w:tcPr>
          <w:p w:rsidR="009C093E" w:rsidRPr="00815F15" w:rsidRDefault="009C093E" w:rsidP="002C09D6">
            <w:pPr>
              <w:jc w:val="center"/>
              <w:rPr>
                <w:rFonts w:ascii="Arial" w:hAnsi="Arial" w:cs="Arial"/>
                <w:b/>
                <w:sz w:val="16"/>
                <w:szCs w:val="16"/>
              </w:rPr>
            </w:pPr>
            <w:r w:rsidRPr="00815F15">
              <w:rPr>
                <w:rFonts w:ascii="Arial" w:hAnsi="Arial" w:cs="Arial"/>
                <w:b/>
                <w:sz w:val="16"/>
                <w:szCs w:val="16"/>
              </w:rPr>
              <w:t>Quantity demanded</w:t>
            </w:r>
          </w:p>
        </w:tc>
        <w:tc>
          <w:tcPr>
            <w:tcW w:w="689" w:type="dxa"/>
            <w:tcBorders>
              <w:top w:val="single" w:sz="4" w:space="0" w:color="auto"/>
              <w:left w:val="nil"/>
              <w:bottom w:val="single" w:sz="4" w:space="0" w:color="auto"/>
              <w:right w:val="nil"/>
            </w:tcBorders>
            <w:shd w:val="clear" w:color="auto" w:fill="auto"/>
            <w:tcMar>
              <w:bottom w:w="14" w:type="dxa"/>
            </w:tcMar>
            <w:vAlign w:val="bottom"/>
          </w:tcPr>
          <w:p w:rsidR="009C093E" w:rsidRPr="00815F15" w:rsidRDefault="009C093E" w:rsidP="002C09D6">
            <w:pPr>
              <w:jc w:val="center"/>
              <w:rPr>
                <w:rFonts w:ascii="Arial" w:hAnsi="Arial" w:cs="Arial"/>
                <w:b/>
                <w:sz w:val="16"/>
                <w:szCs w:val="16"/>
              </w:rPr>
            </w:pPr>
            <w:r w:rsidRPr="00815F15">
              <w:rPr>
                <w:rFonts w:ascii="Arial" w:hAnsi="Arial" w:cs="Arial"/>
                <w:b/>
                <w:sz w:val="16"/>
                <w:szCs w:val="16"/>
              </w:rPr>
              <w:t>Price</w:t>
            </w:r>
          </w:p>
        </w:tc>
        <w:tc>
          <w:tcPr>
            <w:tcW w:w="881" w:type="dxa"/>
            <w:tcBorders>
              <w:top w:val="single" w:sz="4" w:space="0" w:color="auto"/>
              <w:left w:val="nil"/>
              <w:bottom w:val="single" w:sz="4" w:space="0" w:color="auto"/>
              <w:right w:val="nil"/>
            </w:tcBorders>
            <w:shd w:val="clear" w:color="auto" w:fill="auto"/>
            <w:tcMar>
              <w:bottom w:w="14" w:type="dxa"/>
            </w:tcMar>
            <w:vAlign w:val="bottom"/>
          </w:tcPr>
          <w:p w:rsidR="009C093E" w:rsidRPr="00815F15" w:rsidRDefault="009C093E" w:rsidP="002C09D6">
            <w:pPr>
              <w:jc w:val="center"/>
              <w:rPr>
                <w:rFonts w:ascii="Arial" w:hAnsi="Arial" w:cs="Arial"/>
                <w:b/>
                <w:sz w:val="16"/>
                <w:szCs w:val="16"/>
              </w:rPr>
            </w:pPr>
            <w:r w:rsidRPr="00815F15">
              <w:rPr>
                <w:rFonts w:ascii="Arial" w:hAnsi="Arial" w:cs="Arial"/>
                <w:b/>
                <w:sz w:val="16"/>
                <w:szCs w:val="16"/>
              </w:rPr>
              <w:t>Marginal revenue</w:t>
            </w:r>
          </w:p>
        </w:tc>
        <w:tc>
          <w:tcPr>
            <w:tcW w:w="879" w:type="dxa"/>
            <w:tcBorders>
              <w:top w:val="single" w:sz="4" w:space="0" w:color="auto"/>
              <w:left w:val="nil"/>
              <w:bottom w:val="single" w:sz="4" w:space="0" w:color="auto"/>
              <w:right w:val="nil"/>
            </w:tcBorders>
          </w:tcPr>
          <w:p w:rsidR="009C093E" w:rsidRPr="00815F15" w:rsidRDefault="009C093E" w:rsidP="002C09D6">
            <w:pPr>
              <w:jc w:val="center"/>
              <w:rPr>
                <w:rFonts w:ascii="Arial" w:hAnsi="Arial" w:cs="Arial"/>
                <w:b/>
                <w:sz w:val="16"/>
                <w:szCs w:val="16"/>
              </w:rPr>
            </w:pPr>
            <w:r w:rsidRPr="00815F15">
              <w:rPr>
                <w:rFonts w:ascii="Arial" w:hAnsi="Arial" w:cs="Arial"/>
                <w:b/>
                <w:sz w:val="16"/>
                <w:szCs w:val="16"/>
              </w:rPr>
              <w:t>Average cost</w:t>
            </w:r>
          </w:p>
        </w:tc>
        <w:tc>
          <w:tcPr>
            <w:tcW w:w="881" w:type="dxa"/>
            <w:tcBorders>
              <w:top w:val="single" w:sz="4" w:space="0" w:color="auto"/>
              <w:left w:val="nil"/>
              <w:bottom w:val="single" w:sz="4" w:space="0" w:color="auto"/>
              <w:right w:val="nil"/>
            </w:tcBorders>
          </w:tcPr>
          <w:p w:rsidR="009C093E" w:rsidRPr="00815F15" w:rsidRDefault="009C093E" w:rsidP="002C09D6">
            <w:pPr>
              <w:jc w:val="center"/>
              <w:rPr>
                <w:rFonts w:ascii="Arial" w:hAnsi="Arial" w:cs="Arial"/>
                <w:b/>
                <w:sz w:val="16"/>
                <w:szCs w:val="16"/>
              </w:rPr>
            </w:pPr>
            <w:r w:rsidRPr="00815F15">
              <w:rPr>
                <w:rFonts w:ascii="Arial" w:hAnsi="Arial" w:cs="Arial"/>
                <w:b/>
                <w:sz w:val="16"/>
                <w:szCs w:val="16"/>
              </w:rPr>
              <w:t>Marginal cost</w:t>
            </w:r>
          </w:p>
        </w:tc>
      </w:tr>
      <w:tr w:rsidR="009C093E" w:rsidRPr="00815F15" w:rsidTr="002C09D6">
        <w:tc>
          <w:tcPr>
            <w:tcW w:w="1023" w:type="dxa"/>
            <w:tcBorders>
              <w:top w:val="single" w:sz="4" w:space="0" w:color="auto"/>
              <w:left w:val="nil"/>
              <w:bottom w:val="nil"/>
              <w:right w:val="nil"/>
            </w:tcBorders>
            <w:shd w:val="clear" w:color="auto" w:fill="auto"/>
            <w:tcMar>
              <w:top w:w="86" w:type="dxa"/>
              <w:left w:w="29" w:type="dxa"/>
              <w:bottom w:w="0"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0</w:t>
            </w:r>
          </w:p>
        </w:tc>
        <w:tc>
          <w:tcPr>
            <w:tcW w:w="689" w:type="dxa"/>
            <w:tcBorders>
              <w:top w:val="single" w:sz="4" w:space="0" w:color="auto"/>
              <w:left w:val="nil"/>
              <w:bottom w:val="nil"/>
              <w:right w:val="nil"/>
            </w:tcBorders>
            <w:shd w:val="clear" w:color="auto" w:fill="auto"/>
            <w:tcMar>
              <w:top w:w="86" w:type="dxa"/>
              <w:left w:w="29" w:type="dxa"/>
              <w:bottom w:w="0"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$105.00</w:t>
            </w:r>
          </w:p>
        </w:tc>
        <w:tc>
          <w:tcPr>
            <w:tcW w:w="881" w:type="dxa"/>
            <w:tcBorders>
              <w:top w:val="single" w:sz="4" w:space="0" w:color="auto"/>
              <w:left w:val="nil"/>
              <w:bottom w:val="nil"/>
              <w:right w:val="nil"/>
            </w:tcBorders>
            <w:shd w:val="clear" w:color="auto" w:fill="auto"/>
            <w:tcMar>
              <w:top w:w="86" w:type="dxa"/>
              <w:left w:w="29" w:type="dxa"/>
              <w:bottom w:w="0" w:type="dxa"/>
            </w:tcMar>
            <w:vAlign w:val="bottom"/>
          </w:tcPr>
          <w:p w:rsidR="009C093E" w:rsidRPr="00815F15" w:rsidRDefault="009C093E" w:rsidP="002C09D6">
            <w:pPr>
              <w:jc w:val="center"/>
              <w:rPr>
                <w:rFonts w:ascii="Arial" w:hAnsi="Arial" w:cs="Arial"/>
                <w:sz w:val="16"/>
                <w:szCs w:val="16"/>
              </w:rPr>
            </w:pPr>
          </w:p>
        </w:tc>
        <w:tc>
          <w:tcPr>
            <w:tcW w:w="879" w:type="dxa"/>
            <w:tcBorders>
              <w:top w:val="single" w:sz="4" w:space="0" w:color="auto"/>
              <w:left w:val="nil"/>
              <w:bottom w:val="nil"/>
              <w:right w:val="nil"/>
            </w:tcBorders>
            <w:tcMar>
              <w:top w:w="86" w:type="dxa"/>
              <w:left w:w="29" w:type="dxa"/>
              <w:bottom w:w="0" w:type="dxa"/>
            </w:tcMar>
          </w:tcPr>
          <w:p w:rsidR="009C093E" w:rsidRPr="00815F15" w:rsidRDefault="009C093E" w:rsidP="002C09D6">
            <w:pPr>
              <w:jc w:val="center"/>
              <w:rPr>
                <w:rFonts w:ascii="Arial" w:hAnsi="Arial" w:cs="Arial"/>
                <w:sz w:val="16"/>
                <w:szCs w:val="16"/>
              </w:rPr>
            </w:pPr>
          </w:p>
        </w:tc>
        <w:tc>
          <w:tcPr>
            <w:tcW w:w="881" w:type="dxa"/>
            <w:tcBorders>
              <w:top w:val="single" w:sz="4" w:space="0" w:color="auto"/>
              <w:left w:val="nil"/>
              <w:bottom w:val="nil"/>
              <w:right w:val="nil"/>
            </w:tcBorders>
            <w:tcMar>
              <w:top w:w="86" w:type="dxa"/>
              <w:left w:w="29" w:type="dxa"/>
            </w:tcMar>
          </w:tcPr>
          <w:p w:rsidR="009C093E" w:rsidRPr="00815F15" w:rsidRDefault="009C093E" w:rsidP="002C09D6">
            <w:pPr>
              <w:jc w:val="center"/>
              <w:rPr>
                <w:rFonts w:ascii="Arial" w:hAnsi="Arial" w:cs="Arial"/>
                <w:sz w:val="16"/>
                <w:szCs w:val="16"/>
              </w:rPr>
            </w:pPr>
          </w:p>
        </w:tc>
      </w:tr>
      <w:tr w:rsidR="009C093E" w:rsidRPr="00815F15" w:rsidTr="002C09D6">
        <w:tc>
          <w:tcPr>
            <w:tcW w:w="1023"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1</w:t>
            </w:r>
          </w:p>
        </w:tc>
        <w:tc>
          <w:tcPr>
            <w:tcW w:w="689"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96.00</w:t>
            </w:r>
          </w:p>
        </w:tc>
        <w:tc>
          <w:tcPr>
            <w:tcW w:w="881"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466"/>
              </w:tabs>
              <w:rPr>
                <w:rFonts w:ascii="Arial" w:hAnsi="Arial" w:cs="Arial"/>
                <w:sz w:val="16"/>
                <w:szCs w:val="16"/>
              </w:rPr>
            </w:pPr>
            <w:r w:rsidRPr="00815F15">
              <w:rPr>
                <w:rFonts w:ascii="Arial" w:hAnsi="Arial" w:cs="Arial"/>
                <w:sz w:val="16"/>
                <w:szCs w:val="16"/>
              </w:rPr>
              <w:t>$   96.00</w:t>
            </w:r>
          </w:p>
        </w:tc>
        <w:tc>
          <w:tcPr>
            <w:tcW w:w="879" w:type="dxa"/>
            <w:tcBorders>
              <w:top w:val="nil"/>
              <w:left w:val="nil"/>
              <w:bottom w:val="nil"/>
              <w:right w:val="nil"/>
            </w:tcBorders>
            <w:tcMar>
              <w:left w:w="29" w:type="dxa"/>
              <w:bottom w:w="0"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$144.00</w:t>
            </w:r>
          </w:p>
        </w:tc>
        <w:tc>
          <w:tcPr>
            <w:tcW w:w="881" w:type="dxa"/>
            <w:tcBorders>
              <w:top w:val="nil"/>
              <w:left w:val="nil"/>
              <w:bottom w:val="nil"/>
              <w:right w:val="nil"/>
            </w:tcBorders>
            <w:tcMar>
              <w:left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$144.00</w:t>
            </w:r>
          </w:p>
        </w:tc>
      </w:tr>
      <w:tr w:rsidR="009C093E" w:rsidRPr="00815F15" w:rsidTr="002C09D6">
        <w:tc>
          <w:tcPr>
            <w:tcW w:w="1023"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2</w:t>
            </w:r>
          </w:p>
        </w:tc>
        <w:tc>
          <w:tcPr>
            <w:tcW w:w="689"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87.00</w:t>
            </w:r>
          </w:p>
        </w:tc>
        <w:tc>
          <w:tcPr>
            <w:tcW w:w="881"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466"/>
              </w:tabs>
              <w:rPr>
                <w:rFonts w:ascii="Arial" w:hAnsi="Arial" w:cs="Arial"/>
                <w:sz w:val="16"/>
                <w:szCs w:val="16"/>
              </w:rPr>
            </w:pPr>
            <w:r w:rsidRPr="00815F15">
              <w:rPr>
                <w:rFonts w:ascii="Arial" w:hAnsi="Arial" w:cs="Arial"/>
                <w:sz w:val="16"/>
                <w:szCs w:val="16"/>
              </w:rPr>
              <w:t>78.00</w:t>
            </w:r>
          </w:p>
        </w:tc>
        <w:tc>
          <w:tcPr>
            <w:tcW w:w="879" w:type="dxa"/>
            <w:tcBorders>
              <w:top w:val="nil"/>
              <w:left w:val="nil"/>
              <w:bottom w:val="nil"/>
              <w:right w:val="nil"/>
            </w:tcBorders>
            <w:tcMar>
              <w:left w:w="29" w:type="dxa"/>
              <w:bottom w:w="0"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90.00</w:t>
            </w:r>
          </w:p>
        </w:tc>
        <w:tc>
          <w:tcPr>
            <w:tcW w:w="881" w:type="dxa"/>
            <w:tcBorders>
              <w:top w:val="nil"/>
              <w:left w:val="nil"/>
              <w:bottom w:val="nil"/>
              <w:right w:val="nil"/>
            </w:tcBorders>
            <w:tcMar>
              <w:left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36.00</w:t>
            </w:r>
          </w:p>
        </w:tc>
      </w:tr>
      <w:tr w:rsidR="009C093E" w:rsidRPr="00815F15" w:rsidTr="002C09D6">
        <w:tc>
          <w:tcPr>
            <w:tcW w:w="1023"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3</w:t>
            </w:r>
          </w:p>
        </w:tc>
        <w:tc>
          <w:tcPr>
            <w:tcW w:w="689"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78.00</w:t>
            </w:r>
          </w:p>
        </w:tc>
        <w:tc>
          <w:tcPr>
            <w:tcW w:w="881"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466"/>
              </w:tabs>
              <w:rPr>
                <w:rFonts w:ascii="Arial" w:hAnsi="Arial" w:cs="Arial"/>
                <w:sz w:val="16"/>
                <w:szCs w:val="16"/>
              </w:rPr>
            </w:pPr>
            <w:r w:rsidRPr="00815F15">
              <w:rPr>
                <w:rFonts w:ascii="Arial" w:hAnsi="Arial" w:cs="Arial"/>
                <w:sz w:val="16"/>
                <w:szCs w:val="16"/>
              </w:rPr>
              <w:t>60.00</w:t>
            </w:r>
          </w:p>
        </w:tc>
        <w:tc>
          <w:tcPr>
            <w:tcW w:w="879" w:type="dxa"/>
            <w:tcBorders>
              <w:top w:val="nil"/>
              <w:left w:val="nil"/>
              <w:bottom w:val="nil"/>
              <w:right w:val="nil"/>
            </w:tcBorders>
            <w:tcMar>
              <w:left w:w="29" w:type="dxa"/>
              <w:bottom w:w="0"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70.34</w:t>
            </w:r>
          </w:p>
        </w:tc>
        <w:tc>
          <w:tcPr>
            <w:tcW w:w="881" w:type="dxa"/>
            <w:tcBorders>
              <w:top w:val="nil"/>
              <w:left w:val="nil"/>
              <w:bottom w:val="nil"/>
              <w:right w:val="nil"/>
            </w:tcBorders>
            <w:tcMar>
              <w:left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30.00</w:t>
            </w:r>
          </w:p>
        </w:tc>
      </w:tr>
      <w:tr w:rsidR="009C093E" w:rsidRPr="00815F15" w:rsidTr="002C09D6">
        <w:tc>
          <w:tcPr>
            <w:tcW w:w="1023"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4</w:t>
            </w:r>
          </w:p>
        </w:tc>
        <w:tc>
          <w:tcPr>
            <w:tcW w:w="689"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69.00</w:t>
            </w:r>
          </w:p>
        </w:tc>
        <w:tc>
          <w:tcPr>
            <w:tcW w:w="881"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466"/>
              </w:tabs>
              <w:rPr>
                <w:rFonts w:ascii="Arial" w:hAnsi="Arial" w:cs="Arial"/>
                <w:sz w:val="16"/>
                <w:szCs w:val="16"/>
              </w:rPr>
            </w:pPr>
            <w:r w:rsidRPr="00815F15">
              <w:rPr>
                <w:rFonts w:ascii="Arial" w:hAnsi="Arial" w:cs="Arial"/>
                <w:sz w:val="16"/>
                <w:szCs w:val="16"/>
              </w:rPr>
              <w:t>42.00</w:t>
            </w:r>
          </w:p>
        </w:tc>
        <w:tc>
          <w:tcPr>
            <w:tcW w:w="879" w:type="dxa"/>
            <w:tcBorders>
              <w:top w:val="nil"/>
              <w:left w:val="nil"/>
              <w:bottom w:val="nil"/>
              <w:right w:val="nil"/>
            </w:tcBorders>
            <w:tcMar>
              <w:left w:w="29" w:type="dxa"/>
              <w:bottom w:w="0"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63.00</w:t>
            </w:r>
          </w:p>
        </w:tc>
        <w:tc>
          <w:tcPr>
            <w:tcW w:w="881" w:type="dxa"/>
            <w:tcBorders>
              <w:top w:val="nil"/>
              <w:left w:val="nil"/>
              <w:bottom w:val="nil"/>
              <w:right w:val="nil"/>
            </w:tcBorders>
            <w:tcMar>
              <w:left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42.00</w:t>
            </w:r>
          </w:p>
        </w:tc>
      </w:tr>
      <w:tr w:rsidR="009C093E" w:rsidRPr="00815F15" w:rsidTr="002C09D6">
        <w:tc>
          <w:tcPr>
            <w:tcW w:w="1023"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5</w:t>
            </w:r>
          </w:p>
        </w:tc>
        <w:tc>
          <w:tcPr>
            <w:tcW w:w="689"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60.00</w:t>
            </w:r>
          </w:p>
        </w:tc>
        <w:tc>
          <w:tcPr>
            <w:tcW w:w="881"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466"/>
              </w:tabs>
              <w:rPr>
                <w:rFonts w:ascii="Arial" w:hAnsi="Arial" w:cs="Arial"/>
                <w:sz w:val="16"/>
                <w:szCs w:val="16"/>
              </w:rPr>
            </w:pPr>
            <w:r w:rsidRPr="00815F15">
              <w:rPr>
                <w:rFonts w:ascii="Arial" w:hAnsi="Arial" w:cs="Arial"/>
                <w:sz w:val="16"/>
                <w:szCs w:val="16"/>
              </w:rPr>
              <w:t>24.00</w:t>
            </w:r>
          </w:p>
        </w:tc>
        <w:tc>
          <w:tcPr>
            <w:tcW w:w="879" w:type="dxa"/>
            <w:tcBorders>
              <w:top w:val="nil"/>
              <w:left w:val="nil"/>
              <w:bottom w:val="nil"/>
              <w:right w:val="nil"/>
            </w:tcBorders>
            <w:tcMar>
              <w:left w:w="29" w:type="dxa"/>
              <w:bottom w:w="0"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60.00</w:t>
            </w:r>
          </w:p>
        </w:tc>
        <w:tc>
          <w:tcPr>
            <w:tcW w:w="881" w:type="dxa"/>
            <w:tcBorders>
              <w:top w:val="nil"/>
              <w:left w:val="nil"/>
              <w:bottom w:val="nil"/>
              <w:right w:val="nil"/>
            </w:tcBorders>
            <w:tcMar>
              <w:left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48.00</w:t>
            </w:r>
          </w:p>
        </w:tc>
      </w:tr>
      <w:tr w:rsidR="009C093E" w:rsidRPr="00815F15" w:rsidTr="002C09D6">
        <w:tc>
          <w:tcPr>
            <w:tcW w:w="1023"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6</w:t>
            </w:r>
          </w:p>
        </w:tc>
        <w:tc>
          <w:tcPr>
            <w:tcW w:w="689"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51.00</w:t>
            </w:r>
          </w:p>
        </w:tc>
        <w:tc>
          <w:tcPr>
            <w:tcW w:w="881"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466"/>
              </w:tabs>
              <w:rPr>
                <w:rFonts w:ascii="Arial" w:hAnsi="Arial" w:cs="Arial"/>
                <w:sz w:val="16"/>
                <w:szCs w:val="16"/>
              </w:rPr>
            </w:pPr>
            <w:r w:rsidRPr="00815F15">
              <w:rPr>
                <w:rFonts w:ascii="Arial" w:hAnsi="Arial" w:cs="Arial"/>
                <w:sz w:val="16"/>
                <w:szCs w:val="16"/>
              </w:rPr>
              <w:t>6.00</w:t>
            </w:r>
          </w:p>
        </w:tc>
        <w:tc>
          <w:tcPr>
            <w:tcW w:w="879" w:type="dxa"/>
            <w:tcBorders>
              <w:top w:val="nil"/>
              <w:left w:val="nil"/>
              <w:bottom w:val="nil"/>
              <w:right w:val="nil"/>
            </w:tcBorders>
            <w:tcMar>
              <w:left w:w="29" w:type="dxa"/>
              <w:bottom w:w="0"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58.50</w:t>
            </w:r>
          </w:p>
        </w:tc>
        <w:tc>
          <w:tcPr>
            <w:tcW w:w="881" w:type="dxa"/>
            <w:tcBorders>
              <w:top w:val="nil"/>
              <w:left w:val="nil"/>
              <w:bottom w:val="nil"/>
              <w:right w:val="nil"/>
            </w:tcBorders>
            <w:tcMar>
              <w:left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51.00</w:t>
            </w:r>
          </w:p>
        </w:tc>
      </w:tr>
      <w:tr w:rsidR="009C093E" w:rsidRPr="00815F15" w:rsidTr="002C09D6">
        <w:tc>
          <w:tcPr>
            <w:tcW w:w="1023"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7</w:t>
            </w:r>
          </w:p>
        </w:tc>
        <w:tc>
          <w:tcPr>
            <w:tcW w:w="689"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42.00</w:t>
            </w:r>
          </w:p>
        </w:tc>
        <w:tc>
          <w:tcPr>
            <w:tcW w:w="881"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466"/>
              </w:tabs>
              <w:rPr>
                <w:rFonts w:ascii="Arial" w:hAnsi="Arial" w:cs="Arial"/>
                <w:sz w:val="16"/>
                <w:szCs w:val="16"/>
              </w:rPr>
            </w:pPr>
            <w:r w:rsidRPr="00815F15">
              <w:rPr>
                <w:rFonts w:ascii="Arial" w:hAnsi="Arial" w:cs="Arial"/>
                <w:sz w:val="16"/>
                <w:szCs w:val="16"/>
              </w:rPr>
              <w:t>–12.00</w:t>
            </w:r>
          </w:p>
        </w:tc>
        <w:tc>
          <w:tcPr>
            <w:tcW w:w="879" w:type="dxa"/>
            <w:tcBorders>
              <w:top w:val="nil"/>
              <w:left w:val="nil"/>
              <w:bottom w:val="nil"/>
              <w:right w:val="nil"/>
            </w:tcBorders>
            <w:tcMar>
              <w:left w:w="29" w:type="dxa"/>
              <w:bottom w:w="0"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57.86</w:t>
            </w:r>
          </w:p>
        </w:tc>
        <w:tc>
          <w:tcPr>
            <w:tcW w:w="881" w:type="dxa"/>
            <w:tcBorders>
              <w:top w:val="nil"/>
              <w:left w:val="nil"/>
              <w:bottom w:val="nil"/>
              <w:right w:val="nil"/>
            </w:tcBorders>
            <w:tcMar>
              <w:left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54.00</w:t>
            </w:r>
          </w:p>
        </w:tc>
      </w:tr>
      <w:tr w:rsidR="009C093E" w:rsidRPr="00815F15" w:rsidTr="002C09D6">
        <w:tc>
          <w:tcPr>
            <w:tcW w:w="1023"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8</w:t>
            </w:r>
          </w:p>
        </w:tc>
        <w:tc>
          <w:tcPr>
            <w:tcW w:w="689"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33.00</w:t>
            </w:r>
          </w:p>
        </w:tc>
        <w:tc>
          <w:tcPr>
            <w:tcW w:w="881" w:type="dxa"/>
            <w:tcBorders>
              <w:top w:val="nil"/>
              <w:left w:val="nil"/>
              <w:bottom w:val="nil"/>
              <w:right w:val="nil"/>
            </w:tcBorders>
            <w:shd w:val="clear" w:color="auto" w:fill="auto"/>
            <w:tcMar>
              <w:left w:w="29" w:type="dxa"/>
              <w:bottom w:w="0" w:type="dxa"/>
            </w:tcMar>
            <w:vAlign w:val="bottom"/>
          </w:tcPr>
          <w:p w:rsidR="009C093E" w:rsidRPr="00815F15" w:rsidRDefault="009C093E" w:rsidP="002C09D6">
            <w:pPr>
              <w:tabs>
                <w:tab w:val="decimal" w:pos="466"/>
              </w:tabs>
              <w:rPr>
                <w:rFonts w:ascii="Arial" w:hAnsi="Arial" w:cs="Arial"/>
                <w:sz w:val="16"/>
                <w:szCs w:val="16"/>
              </w:rPr>
            </w:pPr>
            <w:r w:rsidRPr="00815F15">
              <w:rPr>
                <w:rFonts w:ascii="Arial" w:hAnsi="Arial" w:cs="Arial"/>
                <w:sz w:val="16"/>
                <w:szCs w:val="16"/>
              </w:rPr>
              <w:t>–30.00</w:t>
            </w:r>
          </w:p>
        </w:tc>
        <w:tc>
          <w:tcPr>
            <w:tcW w:w="879" w:type="dxa"/>
            <w:tcBorders>
              <w:top w:val="nil"/>
              <w:left w:val="nil"/>
              <w:bottom w:val="nil"/>
              <w:right w:val="nil"/>
            </w:tcBorders>
            <w:tcMar>
              <w:left w:w="29" w:type="dxa"/>
              <w:bottom w:w="0"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57.50</w:t>
            </w:r>
          </w:p>
        </w:tc>
        <w:tc>
          <w:tcPr>
            <w:tcW w:w="881" w:type="dxa"/>
            <w:tcBorders>
              <w:top w:val="nil"/>
              <w:left w:val="nil"/>
              <w:bottom w:val="nil"/>
              <w:right w:val="nil"/>
            </w:tcBorders>
            <w:tcMar>
              <w:left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55.50</w:t>
            </w:r>
          </w:p>
        </w:tc>
      </w:tr>
      <w:tr w:rsidR="009C093E" w:rsidRPr="00815F15" w:rsidTr="002C09D6">
        <w:tc>
          <w:tcPr>
            <w:tcW w:w="1023" w:type="dxa"/>
            <w:tcBorders>
              <w:top w:val="nil"/>
              <w:left w:val="nil"/>
              <w:bottom w:val="single" w:sz="4" w:space="0" w:color="auto"/>
              <w:right w:val="nil"/>
            </w:tcBorders>
            <w:shd w:val="clear" w:color="auto" w:fill="auto"/>
            <w:tcMar>
              <w:left w:w="29" w:type="dxa"/>
              <w:bottom w:w="29" w:type="dxa"/>
            </w:tcMar>
            <w:vAlign w:val="bottom"/>
          </w:tcPr>
          <w:p w:rsidR="009C093E" w:rsidRPr="00815F15" w:rsidRDefault="009C093E" w:rsidP="002C09D6">
            <w:pPr>
              <w:jc w:val="center"/>
              <w:rPr>
                <w:rFonts w:ascii="Arial" w:hAnsi="Arial" w:cs="Arial"/>
                <w:sz w:val="16"/>
                <w:szCs w:val="16"/>
              </w:rPr>
            </w:pPr>
            <w:r w:rsidRPr="00815F15">
              <w:rPr>
                <w:rFonts w:ascii="Arial" w:hAnsi="Arial" w:cs="Arial"/>
                <w:sz w:val="16"/>
                <w:szCs w:val="16"/>
              </w:rPr>
              <w:t>9</w:t>
            </w:r>
          </w:p>
        </w:tc>
        <w:tc>
          <w:tcPr>
            <w:tcW w:w="689" w:type="dxa"/>
            <w:tcBorders>
              <w:top w:val="nil"/>
              <w:left w:val="nil"/>
              <w:bottom w:val="single" w:sz="4" w:space="0" w:color="auto"/>
              <w:right w:val="nil"/>
            </w:tcBorders>
            <w:shd w:val="clear" w:color="auto" w:fill="auto"/>
            <w:tcMar>
              <w:left w:w="29" w:type="dxa"/>
              <w:bottom w:w="29" w:type="dxa"/>
            </w:tcMar>
            <w:vAlign w:val="bottom"/>
          </w:tcPr>
          <w:p w:rsidR="009C093E" w:rsidRPr="00815F15" w:rsidRDefault="009C093E" w:rsidP="002C09D6">
            <w:pPr>
              <w:tabs>
                <w:tab w:val="decimal" w:pos="331"/>
              </w:tabs>
              <w:rPr>
                <w:rFonts w:ascii="Arial" w:hAnsi="Arial" w:cs="Arial"/>
                <w:sz w:val="16"/>
                <w:szCs w:val="16"/>
              </w:rPr>
            </w:pPr>
            <w:r w:rsidRPr="00815F15">
              <w:rPr>
                <w:rFonts w:ascii="Arial" w:hAnsi="Arial" w:cs="Arial"/>
                <w:sz w:val="16"/>
                <w:szCs w:val="16"/>
              </w:rPr>
              <w:t>24.00</w:t>
            </w:r>
          </w:p>
        </w:tc>
        <w:tc>
          <w:tcPr>
            <w:tcW w:w="881" w:type="dxa"/>
            <w:tcBorders>
              <w:top w:val="nil"/>
              <w:left w:val="nil"/>
              <w:bottom w:val="single" w:sz="4" w:space="0" w:color="auto"/>
              <w:right w:val="nil"/>
            </w:tcBorders>
            <w:shd w:val="clear" w:color="auto" w:fill="auto"/>
            <w:tcMar>
              <w:left w:w="29" w:type="dxa"/>
              <w:bottom w:w="29" w:type="dxa"/>
            </w:tcMar>
            <w:vAlign w:val="bottom"/>
          </w:tcPr>
          <w:p w:rsidR="009C093E" w:rsidRPr="00815F15" w:rsidRDefault="009C093E" w:rsidP="002C09D6">
            <w:pPr>
              <w:tabs>
                <w:tab w:val="decimal" w:pos="466"/>
              </w:tabs>
              <w:rPr>
                <w:rFonts w:ascii="Arial" w:hAnsi="Arial" w:cs="Arial"/>
                <w:sz w:val="16"/>
                <w:szCs w:val="16"/>
              </w:rPr>
            </w:pPr>
            <w:r w:rsidRPr="00815F15">
              <w:rPr>
                <w:rFonts w:ascii="Arial" w:hAnsi="Arial" w:cs="Arial"/>
                <w:sz w:val="16"/>
                <w:szCs w:val="16"/>
              </w:rPr>
              <w:t>–48.00</w:t>
            </w:r>
          </w:p>
        </w:tc>
        <w:tc>
          <w:tcPr>
            <w:tcW w:w="879" w:type="dxa"/>
            <w:tcBorders>
              <w:top w:val="nil"/>
              <w:left w:val="nil"/>
              <w:bottom w:val="single" w:sz="4" w:space="0" w:color="auto"/>
              <w:right w:val="nil"/>
            </w:tcBorders>
            <w:tcMar>
              <w:left w:w="29" w:type="dxa"/>
              <w:bottom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57.33</w:t>
            </w:r>
          </w:p>
        </w:tc>
        <w:tc>
          <w:tcPr>
            <w:tcW w:w="881" w:type="dxa"/>
            <w:tcBorders>
              <w:top w:val="nil"/>
              <w:left w:val="nil"/>
              <w:bottom w:val="single" w:sz="4" w:space="0" w:color="auto"/>
              <w:right w:val="nil"/>
            </w:tcBorders>
            <w:tcMar>
              <w:left w:w="29" w:type="dxa"/>
              <w:bottom w:w="29" w:type="dxa"/>
            </w:tcMar>
          </w:tcPr>
          <w:p w:rsidR="009C093E" w:rsidRPr="00815F15" w:rsidRDefault="009C093E" w:rsidP="002C09D6">
            <w:pPr>
              <w:tabs>
                <w:tab w:val="decimal" w:pos="432"/>
              </w:tabs>
              <w:rPr>
                <w:rFonts w:ascii="Arial" w:hAnsi="Arial" w:cs="Arial"/>
                <w:sz w:val="16"/>
                <w:szCs w:val="16"/>
              </w:rPr>
            </w:pPr>
            <w:r w:rsidRPr="00815F15">
              <w:rPr>
                <w:rFonts w:ascii="Arial" w:hAnsi="Arial" w:cs="Arial"/>
                <w:sz w:val="16"/>
                <w:szCs w:val="16"/>
              </w:rPr>
              <w:t>56.00</w:t>
            </w:r>
          </w:p>
        </w:tc>
      </w:tr>
    </w:tbl>
    <w:p w:rsidR="009C093E" w:rsidRPr="00815F15" w:rsidRDefault="009C093E" w:rsidP="009C093E">
      <w:pPr>
        <w:spacing w:line="120" w:lineRule="auto"/>
        <w:jc w:val="both"/>
        <w:rPr>
          <w:snapToGrid w:val="0"/>
        </w:rPr>
      </w:pPr>
    </w:p>
    <w:p w:rsidR="009C093E" w:rsidRPr="00815F15" w:rsidRDefault="009C093E" w:rsidP="009C093E">
      <w:pPr>
        <w:ind w:left="720" w:hanging="360"/>
        <w:jc w:val="both"/>
        <w:rPr>
          <w:snapToGrid w:val="0"/>
        </w:rPr>
      </w:pPr>
      <w:r w:rsidRPr="00815F15">
        <w:rPr>
          <w:snapToGrid w:val="0"/>
        </w:rPr>
        <w:t>(a)</w:t>
      </w:r>
      <w:r w:rsidRPr="00815F15">
        <w:rPr>
          <w:snapToGrid w:val="0"/>
        </w:rPr>
        <w:tab/>
        <w:t>What is the level of price, output, and amount of profit for an unregulated monopolist?</w:t>
      </w:r>
    </w:p>
    <w:p w:rsidR="009C093E" w:rsidRPr="00815F15" w:rsidRDefault="009C093E" w:rsidP="009C093E">
      <w:pPr>
        <w:ind w:left="720" w:hanging="360"/>
        <w:jc w:val="both"/>
        <w:rPr>
          <w:snapToGrid w:val="0"/>
        </w:rPr>
      </w:pPr>
      <w:r w:rsidRPr="00815F15">
        <w:rPr>
          <w:snapToGrid w:val="0"/>
        </w:rPr>
        <w:t>(b)</w:t>
      </w:r>
      <w:r w:rsidRPr="00815F15">
        <w:rPr>
          <w:snapToGrid w:val="0"/>
        </w:rPr>
        <w:tab/>
        <w:t>Using the data in the table, what are the price, output, and profit for a regulated monopolist that sets price equal to marginal cost compared with an unregulated monopolist?</w:t>
      </w:r>
    </w:p>
    <w:p w:rsidR="009C093E" w:rsidRPr="00815F15" w:rsidRDefault="009C093E" w:rsidP="009C093E">
      <w:pPr>
        <w:ind w:left="720" w:hanging="360"/>
        <w:jc w:val="both"/>
        <w:rPr>
          <w:snapToGrid w:val="0"/>
        </w:rPr>
      </w:pPr>
      <w:r w:rsidRPr="00815F15">
        <w:rPr>
          <w:snapToGrid w:val="0"/>
        </w:rPr>
        <w:t>(c)</w:t>
      </w:r>
      <w:r w:rsidRPr="00815F15">
        <w:rPr>
          <w:snapToGrid w:val="0"/>
        </w:rPr>
        <w:tab/>
        <w:t>Using the data in the table, what are the price, output, and profit for a regulated monopolist that charges a “fair-return” price compared with an unregulated monopolist?</w:t>
      </w:r>
    </w:p>
    <w:p w:rsidR="009C093E" w:rsidRPr="00815F15" w:rsidRDefault="009C093E" w:rsidP="009C093E">
      <w:pPr>
        <w:ind w:left="720" w:hanging="360"/>
        <w:jc w:val="both"/>
        <w:rPr>
          <w:snapToGrid w:val="0"/>
        </w:rPr>
      </w:pPr>
      <w:r w:rsidRPr="00815F15">
        <w:rPr>
          <w:snapToGrid w:val="0"/>
        </w:rPr>
        <w:t>(d)</w:t>
      </w:r>
      <w:r w:rsidRPr="00815F15">
        <w:rPr>
          <w:snapToGrid w:val="0"/>
        </w:rPr>
        <w:tab/>
        <w:t>Analyze the effect of regulation on the allocation of resources.  Which situation is most efficient?  Which situation is most likely to be chosen by government?  Why?</w:t>
      </w:r>
    </w:p>
    <w:p w:rsidR="009C093E" w:rsidRPr="008965E0" w:rsidRDefault="009C093E" w:rsidP="009C093E">
      <w:pPr>
        <w:jc w:val="both"/>
        <w:rPr>
          <w:snapToGrid w:val="0"/>
        </w:rPr>
      </w:pPr>
    </w:p>
    <w:p w:rsidR="009C093E" w:rsidRDefault="009C093E" w:rsidP="009C093E">
      <w:pPr>
        <w:ind w:left="720" w:hanging="360"/>
        <w:jc w:val="both"/>
        <w:rPr>
          <w:bCs/>
          <w:snapToGrid w:val="0"/>
        </w:rPr>
      </w:pPr>
      <w:r w:rsidRPr="008965E0">
        <w:rPr>
          <w:bCs/>
          <w:snapToGrid w:val="0"/>
        </w:rPr>
        <w:t>(a)</w:t>
      </w:r>
      <w:r w:rsidRPr="008965E0">
        <w:rPr>
          <w:bCs/>
          <w:snapToGrid w:val="0"/>
        </w:rPr>
        <w:tab/>
        <w:t>The unregulated monopolist will charge a price of $69, produce 4 units, and make a profit of $24.</w:t>
      </w:r>
    </w:p>
    <w:p w:rsidR="009C093E" w:rsidRDefault="009C093E" w:rsidP="009C093E">
      <w:pPr>
        <w:ind w:left="720" w:hanging="360"/>
        <w:jc w:val="both"/>
        <w:rPr>
          <w:bCs/>
          <w:snapToGrid w:val="0"/>
        </w:rPr>
      </w:pPr>
      <w:r w:rsidRPr="008965E0">
        <w:rPr>
          <w:bCs/>
          <w:snapToGrid w:val="0"/>
        </w:rPr>
        <w:t>(b)</w:t>
      </w:r>
      <w:r w:rsidRPr="008965E0">
        <w:rPr>
          <w:bCs/>
          <w:snapToGrid w:val="0"/>
        </w:rPr>
        <w:tab/>
        <w:t>The regulated monopolist in this case would set price equal to $51, produce 6 units of output, but would have economic losses of $45.</w:t>
      </w:r>
    </w:p>
    <w:p w:rsidR="009C093E" w:rsidRDefault="009C093E" w:rsidP="009C093E">
      <w:pPr>
        <w:ind w:left="720" w:hanging="360"/>
        <w:jc w:val="both"/>
        <w:rPr>
          <w:bCs/>
          <w:snapToGrid w:val="0"/>
        </w:rPr>
      </w:pPr>
      <w:r w:rsidRPr="008965E0">
        <w:rPr>
          <w:bCs/>
          <w:snapToGrid w:val="0"/>
        </w:rPr>
        <w:t>(c)</w:t>
      </w:r>
      <w:r w:rsidRPr="008965E0">
        <w:rPr>
          <w:bCs/>
          <w:snapToGrid w:val="0"/>
        </w:rPr>
        <w:tab/>
        <w:t>The regulated monopolist in this case would charge a price of $60, produce 5 units of output, and make no economic profits.</w:t>
      </w:r>
    </w:p>
    <w:p w:rsidR="009C093E" w:rsidRDefault="009C093E" w:rsidP="009C093E">
      <w:pPr>
        <w:ind w:left="720" w:hanging="360"/>
        <w:jc w:val="both"/>
        <w:rPr>
          <w:bCs/>
          <w:snapToGrid w:val="0"/>
        </w:rPr>
      </w:pPr>
      <w:r w:rsidRPr="008965E0">
        <w:rPr>
          <w:bCs/>
          <w:snapToGrid w:val="0"/>
        </w:rPr>
        <w:t>(</w:t>
      </w:r>
      <w:proofErr w:type="gramStart"/>
      <w:r w:rsidRPr="008965E0">
        <w:rPr>
          <w:bCs/>
          <w:snapToGrid w:val="0"/>
        </w:rPr>
        <w:t>d</w:t>
      </w:r>
      <w:proofErr w:type="gramEnd"/>
      <w:r w:rsidRPr="008965E0">
        <w:rPr>
          <w:bCs/>
          <w:snapToGrid w:val="0"/>
        </w:rPr>
        <w:t>)</w:t>
      </w:r>
      <w:r w:rsidRPr="008965E0">
        <w:rPr>
          <w:bCs/>
          <w:snapToGrid w:val="0"/>
        </w:rPr>
        <w:tab/>
        <w:t>The most efficient situation would be where the price was set equal to marginal cost.  The price reflects what society is willing to pay and the marginal cost for producing another unit.  That situation, however, produces a loss for the firm of $45, which the government would have to subsidize an unpopular policy.  Therefore, the government is most likely to select “fair-return” pricing where AC is equal to MC.  The firm neither makes an economic profit nor incurs a loss.  The output level is greater than a situation where the firm is unregulated.</w:t>
      </w:r>
    </w:p>
    <w:p w:rsidR="009C093E" w:rsidRPr="008965E0" w:rsidRDefault="009C093E" w:rsidP="009C093E">
      <w:pPr>
        <w:ind w:left="720" w:hanging="360"/>
        <w:jc w:val="both"/>
        <w:rPr>
          <w:bCs/>
          <w:snapToGrid w:val="0"/>
        </w:rPr>
      </w:pPr>
      <w:r w:rsidRPr="008965E0">
        <w:rPr>
          <w:bCs/>
          <w:snapToGrid w:val="0"/>
        </w:rPr>
        <w:t>[</w:t>
      </w:r>
      <w:proofErr w:type="gramStart"/>
      <w:r w:rsidRPr="008965E0">
        <w:rPr>
          <w:bCs/>
          <w:snapToGrid w:val="0"/>
        </w:rPr>
        <w:t>text</w:t>
      </w:r>
      <w:proofErr w:type="gramEnd"/>
      <w:r w:rsidRPr="008965E0">
        <w:rPr>
          <w:bCs/>
          <w:snapToGrid w:val="0"/>
        </w:rPr>
        <w:t xml:space="preserve">: E pp. </w:t>
      </w:r>
      <w:r>
        <w:rPr>
          <w:bCs/>
          <w:snapToGrid w:val="0"/>
        </w:rPr>
        <w:t>216</w:t>
      </w:r>
      <w:r w:rsidRPr="008965E0">
        <w:rPr>
          <w:bCs/>
          <w:snapToGrid w:val="0"/>
        </w:rPr>
        <w:t>-</w:t>
      </w:r>
      <w:r>
        <w:rPr>
          <w:bCs/>
          <w:snapToGrid w:val="0"/>
        </w:rPr>
        <w:t>217</w:t>
      </w:r>
      <w:r w:rsidRPr="008965E0">
        <w:rPr>
          <w:bCs/>
          <w:snapToGrid w:val="0"/>
        </w:rPr>
        <w:t xml:space="preserve">, </w:t>
      </w:r>
      <w:r>
        <w:rPr>
          <w:bCs/>
          <w:snapToGrid w:val="0"/>
        </w:rPr>
        <w:t>2</w:t>
      </w:r>
      <w:r w:rsidRPr="008965E0">
        <w:rPr>
          <w:bCs/>
          <w:snapToGrid w:val="0"/>
        </w:rPr>
        <w:t>1</w:t>
      </w:r>
      <w:r>
        <w:rPr>
          <w:bCs/>
          <w:snapToGrid w:val="0"/>
        </w:rPr>
        <w:t>9</w:t>
      </w:r>
      <w:r w:rsidRPr="008965E0">
        <w:rPr>
          <w:bCs/>
          <w:snapToGrid w:val="0"/>
        </w:rPr>
        <w:t>; MI pp. 2</w:t>
      </w:r>
      <w:r>
        <w:rPr>
          <w:bCs/>
          <w:snapToGrid w:val="0"/>
        </w:rPr>
        <w:t>16</w:t>
      </w:r>
      <w:r w:rsidRPr="008965E0">
        <w:rPr>
          <w:bCs/>
          <w:snapToGrid w:val="0"/>
        </w:rPr>
        <w:t>-2</w:t>
      </w:r>
      <w:r>
        <w:rPr>
          <w:bCs/>
          <w:snapToGrid w:val="0"/>
        </w:rPr>
        <w:t>17</w:t>
      </w:r>
      <w:r w:rsidRPr="008965E0">
        <w:rPr>
          <w:bCs/>
          <w:snapToGrid w:val="0"/>
        </w:rPr>
        <w:t>, 2</w:t>
      </w:r>
      <w:r>
        <w:rPr>
          <w:bCs/>
          <w:snapToGrid w:val="0"/>
        </w:rPr>
        <w:t>19</w:t>
      </w:r>
      <w:r w:rsidRPr="008965E0">
        <w:rPr>
          <w:bCs/>
          <w:snapToGrid w:val="0"/>
        </w:rPr>
        <w:t>]</w:t>
      </w:r>
    </w:p>
    <w:p w:rsidR="009C093E" w:rsidRDefault="009C093E" w:rsidP="009C093E">
      <w:pPr>
        <w:jc w:val="both"/>
        <w:rPr>
          <w:snapToGrid w:val="0"/>
        </w:rPr>
      </w:pPr>
    </w:p>
    <w:p w:rsidR="009C093E" w:rsidRPr="008965E0" w:rsidRDefault="009C093E" w:rsidP="009C093E">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t xml:space="preserve">4. </w:t>
      </w:r>
      <w:r w:rsidRPr="008965E0">
        <w:rPr>
          <w:sz w:val="20"/>
        </w:rPr>
        <w:t>(Last Word</w:t>
      </w:r>
      <w:proofErr w:type="gramStart"/>
      <w:r w:rsidRPr="008965E0">
        <w:rPr>
          <w:sz w:val="20"/>
        </w:rPr>
        <w:t>)  How</w:t>
      </w:r>
      <w:proofErr w:type="gramEnd"/>
      <w:r w:rsidRPr="008965E0">
        <w:rPr>
          <w:sz w:val="20"/>
        </w:rPr>
        <w:t xml:space="preserve"> was the original DeBeers diamond company an example of classic monopoly behavior?  How did it manipulate demand and supply?</w:t>
      </w:r>
    </w:p>
    <w:p w:rsidR="009C093E" w:rsidRPr="008965E0" w:rsidRDefault="009C093E" w:rsidP="009C093E">
      <w:pPr>
        <w:pStyle w:val="Outline2"/>
        <w:tabs>
          <w:tab w:val="clear" w:pos="720"/>
          <w:tab w:val="clear" w:pos="1080"/>
          <w:tab w:val="clear" w:pos="1440"/>
          <w:tab w:val="clear" w:pos="1800"/>
          <w:tab w:val="clear" w:pos="2160"/>
          <w:tab w:val="clear" w:pos="2520"/>
          <w:tab w:val="clear" w:pos="2880"/>
          <w:tab w:val="clear" w:pos="3240"/>
        </w:tabs>
        <w:spacing w:before="0" w:after="0"/>
        <w:ind w:left="0" w:firstLine="0"/>
        <w:jc w:val="both"/>
        <w:rPr>
          <w:sz w:val="20"/>
        </w:rPr>
      </w:pPr>
    </w:p>
    <w:p w:rsidR="009C093E" w:rsidRPr="008965E0" w:rsidRDefault="009C093E" w:rsidP="009C093E">
      <w:pPr>
        <w:pStyle w:val="Outline2"/>
        <w:tabs>
          <w:tab w:val="clear" w:pos="720"/>
          <w:tab w:val="clear" w:pos="1080"/>
          <w:tab w:val="clear" w:pos="1440"/>
          <w:tab w:val="clear" w:pos="1800"/>
          <w:tab w:val="clear" w:pos="2160"/>
          <w:tab w:val="clear" w:pos="2520"/>
          <w:tab w:val="clear" w:pos="2880"/>
          <w:tab w:val="clear" w:pos="3240"/>
          <w:tab w:val="right" w:pos="270"/>
        </w:tabs>
        <w:spacing w:before="0" w:after="120"/>
        <w:ind w:left="360"/>
        <w:jc w:val="both"/>
        <w:rPr>
          <w:sz w:val="20"/>
        </w:rPr>
      </w:pPr>
      <w:r w:rsidRPr="008965E0">
        <w:rPr>
          <w:sz w:val="20"/>
        </w:rPr>
        <w:tab/>
      </w:r>
      <w:r w:rsidRPr="008965E0">
        <w:rPr>
          <w:sz w:val="20"/>
        </w:rPr>
        <w:tab/>
        <w:t>De Beers produces about 45 percent of all rough-cut diamonds in the world and buys for resale many of the diamonds produced elsewhere.  It markets about 55 percent of the world’s diamonds.  The price and output decisions of this original firm fit the monopoly model.  It controlled the supply of a large portion of the diamond market.  Thus it was able to sell a limited quantity of diamonds to yield an “appropriate” monopoly price that was well over production costs.  The firm earned monopoly profit.</w:t>
      </w:r>
    </w:p>
    <w:p w:rsidR="009C093E" w:rsidRPr="008965E0" w:rsidRDefault="009C093E" w:rsidP="009C093E">
      <w:pPr>
        <w:tabs>
          <w:tab w:val="right" w:pos="270"/>
        </w:tabs>
        <w:ind w:left="360" w:hanging="360"/>
        <w:jc w:val="both"/>
      </w:pPr>
      <w:r w:rsidRPr="008965E0">
        <w:tab/>
      </w:r>
      <w:r w:rsidRPr="008965E0">
        <w:tab/>
        <w:t>On the demand side, when demand decreased, it reduced diamond sales to maintain the most profitable price.  It also tried to increase demand through advertising.  On the supply side, it attempted to control the production from mines that it did not own.  It made deals with other producers to market their diamonds through DeBeers and share the profits.  It undercut the prices of rogue producers who sold diamonds outside the DeBeers control by selling its stockpiles of such diamonds and driving down the price.  It also purchased diamonds from other producers.  [</w:t>
      </w:r>
      <w:proofErr w:type="gramStart"/>
      <w:r w:rsidRPr="008965E0">
        <w:t>text</w:t>
      </w:r>
      <w:proofErr w:type="gramEnd"/>
      <w:r w:rsidRPr="008965E0">
        <w:t xml:space="preserve">: E p. </w:t>
      </w:r>
      <w:r>
        <w:t>218</w:t>
      </w:r>
      <w:r w:rsidRPr="008965E0">
        <w:t>; MI p. 2</w:t>
      </w:r>
      <w:r>
        <w:t>18</w:t>
      </w:r>
      <w:r w:rsidRPr="008965E0">
        <w:t>]</w:t>
      </w:r>
    </w:p>
    <w:p w:rsidR="00FA7CB5" w:rsidRDefault="00FA7CB5"/>
    <w:sectPr w:rsidR="00FA7C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93E"/>
    <w:rsid w:val="009C093E"/>
    <w:rsid w:val="00FA7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93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9C093E"/>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93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2">
    <w:name w:val="Outline 2"/>
    <w:basedOn w:val="Normal"/>
    <w:rsid w:val="009C093E"/>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857</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2015-01-28T12:19:00Z</dcterms:created>
  <dcterms:modified xsi:type="dcterms:W3CDTF">2015-01-28T12:23:00Z</dcterms:modified>
</cp:coreProperties>
</file>